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FORUM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ab/>
      </w:r>
      <w:r w:rsidDel="00000000" w:rsidR="00000000" w:rsidRPr="00000000">
        <w:rPr>
          <w:rtl w:val="0"/>
        </w:rPr>
        <w:t xml:space="preserve">General Assembly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QUESTION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 xml:space="preserve">Inter</w:t>
      </w:r>
      <w:r w:rsidDel="00000000" w:rsidR="00000000" w:rsidRPr="00000000">
        <w:rPr>
          <w:rtl w:val="0"/>
        </w:rPr>
        <w:t xml:space="preserve">cepting Weapon Flows to Rebellion Groups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MAIN SUBMITTER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 xml:space="preserve">The United States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CO-SUBMITTERS</w:t>
      </w:r>
      <w:r w:rsidDel="00000000" w:rsidR="00000000" w:rsidRPr="00000000">
        <w:rPr>
          <w:rtl w:val="0"/>
        </w:rPr>
        <w:t xml:space="preserve">: </w:t>
        <w:tab/>
        <w:t xml:space="preserve">Mali, DR of the Congo, Laos PDR, Chad, Niger, Qatar, South Africa, United </w:t>
        <w:tab/>
        <w:tab/>
        <w:tab/>
        <w:t xml:space="preserve">Arab Emirates, Ukraine, Democratic People’s Republic of Korea, Republic of </w:t>
        <w:tab/>
        <w:tab/>
        <w:tab/>
        <w:t xml:space="preserve">the Philippines, Indonesia, DPRK, Sweden, The Republic of Korea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GENERAL ASSEMBLY,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Emphasising </w:t>
      </w:r>
      <w:r w:rsidDel="00000000" w:rsidR="00000000" w:rsidRPr="00000000">
        <w:rPr>
          <w:rtl w:val="0"/>
        </w:rPr>
        <w:t xml:space="preserve">the principles of international collaboration as outlined in the Charter of the United Nations and the Declaration on Principles of International Law concerning Friendly Relations and Cooperation among States,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Expressing its appreciation </w:t>
      </w:r>
      <w:r w:rsidDel="00000000" w:rsidR="00000000" w:rsidRPr="00000000">
        <w:rPr>
          <w:rtl w:val="0"/>
        </w:rPr>
        <w:t xml:space="preserve">for nations capable of following as many of these considerable resolutions,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Keeping in mind </w:t>
      </w:r>
      <w:r w:rsidDel="00000000" w:rsidR="00000000" w:rsidRPr="00000000">
        <w:rPr>
          <w:rtl w:val="0"/>
        </w:rPr>
        <w:t xml:space="preserve">each State’s sovereign right and responsibility to remain central providers of security in conformity with the rule of law,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Pointing out </w:t>
      </w:r>
      <w:r w:rsidDel="00000000" w:rsidR="00000000" w:rsidRPr="00000000">
        <w:rPr>
          <w:rtl w:val="0"/>
        </w:rPr>
        <w:t xml:space="preserve">the necessity for all member states to take appropriate measures at regional and global levels to find an acceptable solution to this problem urgently,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rtl w:val="0"/>
        </w:rPr>
        <w:t xml:space="preserve">Recalling</w:t>
      </w:r>
      <w:r w:rsidDel="00000000" w:rsidR="00000000" w:rsidRPr="00000000">
        <w:rPr>
          <w:rtl w:val="0"/>
        </w:rPr>
        <w:t xml:space="preserve"> a previous relevant United Nations resolution “Protocol against the illicit manufacturing of and trafficking in firearms”, which illustrates the disquieting evidence of the scale of illicit arms trafficking,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Recognising </w:t>
      </w:r>
      <w:r w:rsidDel="00000000" w:rsidR="00000000" w:rsidRPr="00000000">
        <w:rPr>
          <w:rtl w:val="0"/>
        </w:rPr>
        <w:t xml:space="preserve">that disarmament, arms control and nonproliferation are essential for the maintenance of national peace and security,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Further recognising </w:t>
      </w:r>
      <w:r w:rsidDel="00000000" w:rsidR="00000000" w:rsidRPr="00000000">
        <w:rPr>
          <w:rtl w:val="0"/>
        </w:rPr>
        <w:t xml:space="preserve">the security, social, economic and humanitarian consequences of the illicit and unregulated trade in conventional arms,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Proposes</w:t>
      </w:r>
      <w:r w:rsidDel="00000000" w:rsidR="00000000" w:rsidRPr="00000000">
        <w:rPr>
          <w:rtl w:val="0"/>
        </w:rPr>
        <w:t xml:space="preserve"> that the UN officially defines the following terms as outlined below: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“rebellion group”: a polity that uses armed conflict in opposition to established government (or governments) for reasons such as to seek political change or to establish, maintain, or to gain independence,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“illicit arms”: illegal trade of contraband, ammunition and small arms;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Strongly encourages</w:t>
      </w:r>
      <w:r w:rsidDel="00000000" w:rsidR="00000000" w:rsidRPr="00000000">
        <w:rPr>
          <w:rtl w:val="0"/>
        </w:rPr>
        <w:t xml:space="preserve"> member states to engage in sharing of information and cooperate operationally with regard to monitoring traffic in illegal firearms in the context of anti-terrorism;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Calls for </w:t>
      </w:r>
      <w:r w:rsidDel="00000000" w:rsidR="00000000" w:rsidRPr="00000000">
        <w:rPr>
          <w:rtl w:val="0"/>
        </w:rPr>
        <w:t xml:space="preserve">preventative strategies be implemented such as, but not limited to: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requiring foundational education about the danger of organised criminal groups and rebellion groups for students of an appropriate age,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banning all advertisement and social media and posts for weaponry and/or about violent actions involving weapons to avoid promotion of violence, especially to minors;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Urges</w:t>
      </w:r>
      <w:r w:rsidDel="00000000" w:rsidR="00000000" w:rsidRPr="00000000">
        <w:rPr>
          <w:rtl w:val="0"/>
        </w:rPr>
        <w:t xml:space="preserve"> member states to revisit security measures of storage areas for arms and weaponry by means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requiring security camera infrastructure,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ameliorating systems of registration and data logging by encouraging modernisation of infrastructure, including the use of computers in all offices,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requiring that security footage can be demanded at any moment by local, national and/or global authorities in the event of theft, suspicion of theft, or any other suspicious activity;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Strongly recommends</w:t>
      </w:r>
      <w:r w:rsidDel="00000000" w:rsidR="00000000" w:rsidRPr="00000000">
        <w:rPr>
          <w:rtl w:val="0"/>
        </w:rPr>
        <w:t xml:space="preserve"> all nations to revisit their laws regarding purchase and access of weaponry with the aim of ensuring appropriate accessibility to anyone, ranging from small and large firearms in ways including: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allowing only residents with national citizenship to purchase firearms,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ensuring selling points are registered with and monitored by the government,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encouraging local governments to adopt policies requiring a licence to purchase any type of firearm or weaponry,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emphasises that any cooperation or trading of firearms with known members of a rebellion group is firmly prohibited and will have the highest form of consequences, resulting in withdrawal of permit for manufacture or selling,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emphasises that the selling and manufacturing of military grade weapons will result in a fine and withdrawal of permit selling and manufacturing permit; including chemical, nuclear and automatic weaponry;</w:t>
      </w:r>
    </w:p>
    <w:p w:rsidR="00000000" w:rsidDel="00000000" w:rsidP="00000000" w:rsidRDefault="00000000" w:rsidRPr="00000000" w14:paraId="0000002C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Asks </w:t>
      </w:r>
      <w:r w:rsidDel="00000000" w:rsidR="00000000" w:rsidRPr="00000000">
        <w:rPr>
          <w:rtl w:val="0"/>
        </w:rPr>
        <w:t xml:space="preserve">for the creation of the Coalition for Preventing and Intercepting Weapon Flows to Rebellion Groups (</w:t>
      </w:r>
      <w:r w:rsidDel="00000000" w:rsidR="00000000" w:rsidRPr="00000000">
        <w:rPr>
          <w:rtl w:val="0"/>
        </w:rPr>
        <w:t xml:space="preserve">CPIWFRG</w:t>
      </w:r>
      <w:r w:rsidDel="00000000" w:rsidR="00000000" w:rsidRPr="00000000">
        <w:rPr>
          <w:rtl w:val="0"/>
        </w:rPr>
        <w:t xml:space="preserve">), which would work with the relevant Member States, as well as with the UNIDIR in order to prevent and intercept weapon flows to rebellion groups on an international level by: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establishing national legislative structures and systems for marking, tracing and stockpile </w:t>
      </w:r>
      <w:r w:rsidDel="00000000" w:rsidR="00000000" w:rsidRPr="00000000">
        <w:rPr>
          <w:rtl w:val="0"/>
        </w:rPr>
        <w:t xml:space="preserve">management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developing common international standards or guidelines on the control governing transfers of small arms and light weapons;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Hopes </w:t>
      </w:r>
      <w:r w:rsidDel="00000000" w:rsidR="00000000" w:rsidRPr="00000000">
        <w:rPr>
          <w:rtl w:val="0"/>
        </w:rPr>
        <w:t xml:space="preserve">that member states incorporate strategies to reduce existing illegal stockpiles by setting aside funds for firearm-buyback programs, and emotionally and financially support whistleblowers in whatever means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ind w:left="0" w:firstLine="0"/>
        <w:rPr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kAAM6zDRMuCZyBbyE+hHc9wbw==">AMUW2mVolVwnCOE5DGyS0SMWwyh7yp20yGgUOJwRIHdTWpZWnHuukapo/Pn35lNL601Vtb2CRuMZjM2MPp/vbzDQlYuhsQci2ZGw9+s9AyRsEHFD9vl1IE0=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